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DICHIARAZIONE DEL RESPONSABILE SCIENTIFICO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SULLA TRASPARENZA DELLE FONTI DI FINANZIAMENTO E DEI RAPPORTI CON SOGGETTI PORTATORI DI INTERESSI COMMERCIALI IN AMBITO SANITARIO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Responsabile Scientifico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dell’evento ECM ID evento  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Titolo __________________________________________________________________________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organizzato dal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Provider ECM ID 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denominazione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☐ che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negli ultimi due anni NON ha avuto rapporti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 soggetti portatori di interessi commerciali in ambito sanitario.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☐ che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negli ultimi due anni ha avuto rapporti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 soggetti portatori di interessi commerciali in ambito sanitario: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 INOLTRE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non intrattenere con imprese commerciali operanti in ambito sanitario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seguenti rapporti*: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Rapporto di lavoro subordinato;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Collaborazione o consulenza continuativa che ponga il soggetto in modo stabile all’interno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dell’organizzazione dell’impresa;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Proprietà, partecipazioni societarie o assunzione di ruoli direttivi.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 sottoscritto si impegna inoltre a comunicare tempestivamente al Provider eventuali variazioni rispetto a quanto dichiarato.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_______________________         Firma _________________________________________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tooxq3owsywx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color w:val="000000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Fermo restando quanto sopra e gli obblighi di trasparenza, il farmacista titolare o operante all’interno di farmacie può ricoprire il ruolo di Responsabile Scientifico, in considerazione della specifica competenza del farmacista nell’individuare i fabbisogni formativi della propria professione.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TVxJPBK9zUbgzhrHMyvX1YCLQ==">CgMxLjAyDmgudG9veHEzb3dzeXd4OAByITF2TjZFZnUzNzU3dHBoTjAxakl3eXNoN3JlbUtfdjdVTg==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